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28"/>
          <w:szCs w:val="28"/>
        </w:rPr>
      </w:pPr>
      <w:r>
        <w:rPr>
          <w:rFonts w:ascii="Times New Roman" w:hAnsi="黑体" w:eastAsia="黑体"/>
          <w:sz w:val="28"/>
          <w:szCs w:val="28"/>
        </w:rPr>
        <w:t>附件</w:t>
      </w:r>
      <w:r>
        <w:rPr>
          <w:rFonts w:hint="eastAsia" w:ascii="Times New Roman" w:hAnsi="Times New Roman" w:eastAsia="黑体"/>
          <w:sz w:val="28"/>
          <w:szCs w:val="28"/>
          <w:lang w:val="en-US" w:eastAsia="zh-CN"/>
        </w:rPr>
        <w:t>2</w:t>
      </w:r>
    </w:p>
    <w:p>
      <w:pPr>
        <w:jc w:val="center"/>
        <w:rPr>
          <w:rFonts w:ascii="Times New Roman" w:hAnsi="Times New Roman" w:eastAsia="方正小标宋简体"/>
          <w:sz w:val="36"/>
          <w:szCs w:val="36"/>
        </w:rPr>
      </w:pPr>
      <w:r>
        <w:rPr>
          <w:rFonts w:ascii="Times New Roman" w:hAnsi="Times New Roman" w:eastAsia="方正小标宋简体"/>
          <w:sz w:val="36"/>
          <w:szCs w:val="36"/>
        </w:rPr>
        <w:t>新工科研究与实践项目指南</w:t>
      </w:r>
    </w:p>
    <w:p>
      <w:pPr>
        <w:spacing w:line="560" w:lineRule="exact"/>
        <w:ind w:firstLine="643" w:firstLineChars="200"/>
        <w:rPr>
          <w:rFonts w:ascii="Times New Roman" w:hAnsi="Times New Roman" w:eastAsia="黑体"/>
          <w:b/>
          <w:bCs/>
          <w:sz w:val="32"/>
          <w:szCs w:val="32"/>
        </w:rPr>
      </w:pPr>
    </w:p>
    <w:p>
      <w:pPr>
        <w:spacing w:line="560" w:lineRule="exact"/>
        <w:ind w:firstLine="643" w:firstLineChars="200"/>
        <w:rPr>
          <w:rFonts w:ascii="Times New Roman" w:hAnsi="Times New Roman" w:eastAsia="黑体"/>
          <w:b/>
          <w:bCs/>
          <w:sz w:val="32"/>
          <w:szCs w:val="32"/>
        </w:rPr>
      </w:pPr>
      <w:r>
        <w:rPr>
          <w:rFonts w:ascii="Times New Roman" w:hAnsi="黑体" w:eastAsia="黑体"/>
          <w:b/>
          <w:bCs/>
          <w:sz w:val="32"/>
          <w:szCs w:val="32"/>
        </w:rPr>
        <w:t>一、新理念选题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此类项目应结合工程教育发展的历史与现实、国内外工程教育改革的经验和教训，分析研究新工科的内涵、特征、规律和发展趋势等，提出工程教育改革创新的理念和思路。</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w:t>
      </w:r>
      <w:r>
        <w:rPr>
          <w:rFonts w:ascii="Times New Roman" w:hAnsi="楷体" w:eastAsia="楷体"/>
          <w:b/>
          <w:bCs/>
          <w:sz w:val="32"/>
          <w:szCs w:val="32"/>
        </w:rPr>
        <w:t>新工科建设的若干基本问题研究</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命，如何贯彻落实国家“创新、协调、绿色、开放、共享”的发展理念；我国工程教育改革发展的新理念、新思路；不同类型院校新工科建设的重点、难点和主要任务。</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研究报告、高质量论文、案例集等。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w:t>
      </w:r>
      <w:r>
        <w:rPr>
          <w:rFonts w:ascii="Times New Roman" w:hAnsi="楷体" w:eastAsia="楷体"/>
          <w:b/>
          <w:bCs/>
          <w:sz w:val="32"/>
          <w:szCs w:val="32"/>
        </w:rPr>
        <w:t>新经济对工科人才需求的调研分析</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围绕新技术、新产业、新业态和新模式，进行分行业、分区域、大规模的行业企业调研，为高校工程专业设置和人才培养提供依据和指导。</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调研大数据、云计算、物联网、人工智能、虚拟现实、基因工程、核技术等新技术和智能制造、集成电路、空天海洋、生物医药、新材料、新能源等新产业对工程科技人才的需求状况及趋势，为新工科专业设置和建设、专业结构调整和人才需求分析提供数据支撑、建议和发展思路。</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：形成结构完整、数据详实的调研报告和咨询报告、专业发展战略、高质量论文等。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3.</w:t>
      </w:r>
      <w:r>
        <w:rPr>
          <w:rFonts w:ascii="Times New Roman" w:hAnsi="楷体" w:eastAsia="楷体"/>
          <w:b/>
          <w:bCs/>
          <w:sz w:val="32"/>
          <w:szCs w:val="32"/>
        </w:rPr>
        <w:t>国际工程教育改革经验的比较与借鉴</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从国际比较的视野进行总结分析，为我国工程教育改革提供经验和借鉴。</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：研究报告、案例集等。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4.</w:t>
      </w:r>
      <w:r>
        <w:rPr>
          <w:rFonts w:ascii="Times New Roman" w:hAnsi="楷体" w:eastAsia="楷体"/>
          <w:b/>
          <w:bCs/>
          <w:sz w:val="32"/>
          <w:szCs w:val="32"/>
        </w:rPr>
        <w:t>我国工程教育改革的历程与经验分析</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梳理我国工程教育改革发展的历史，总结成功经验，揭示存在问题，分析未来发展趋势，提出政策措施。</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深入调研改革开放以来我国工程教育改革的实施情况，包括卓越工程师教育培养计划、战略性新兴产业新专业建设、专业认证、CDIO、示范性软件学院和微电子学院等前期探索；全面总结我国工程教育改革发展的经验与特色，揭示我国工程教育发展的规律；分析当前我国工程教育面临的问题，研判发展趋势，研究提出新工科发展的对策建议、相关政策和配套措施等。</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：研究报告、咨询报告、案例集、高质量论文等。</w:t>
      </w:r>
    </w:p>
    <w:p>
      <w:pPr>
        <w:autoSpaceDE w:val="0"/>
        <w:autoSpaceDN w:val="0"/>
        <w:adjustRightInd w:val="0"/>
        <w:snapToGrid w:val="0"/>
        <w:spacing w:line="560" w:lineRule="exact"/>
        <w:ind w:firstLine="604" w:firstLineChars="188"/>
        <w:rPr>
          <w:rFonts w:ascii="Times New Roman" w:hAnsi="Times New Roman" w:eastAsia="黑体"/>
          <w:b/>
          <w:sz w:val="32"/>
          <w:szCs w:val="32"/>
        </w:rPr>
      </w:pPr>
      <w:r>
        <w:rPr>
          <w:rFonts w:ascii="Times New Roman" w:hAnsi="黑体" w:eastAsia="黑体"/>
          <w:b/>
          <w:sz w:val="32"/>
          <w:szCs w:val="32"/>
        </w:rPr>
        <w:t>二、新结构选题</w:t>
      </w:r>
    </w:p>
    <w:p>
      <w:pPr>
        <w:autoSpaceDE w:val="0"/>
        <w:autoSpaceDN w:val="0"/>
        <w:adjustRightInd w:val="0"/>
        <w:snapToGrid w:val="0"/>
        <w:spacing w:line="560" w:lineRule="exact"/>
        <w:ind w:firstLine="601" w:firstLineChars="188"/>
        <w:rPr>
          <w:rFonts w:ascii="Times New Roman" w:hAnsi="Times New Roman" w:eastAsia="仿宋_GB2312"/>
          <w:sz w:val="32"/>
          <w:szCs w:val="32"/>
        </w:rPr>
      </w:pPr>
      <w:r>
        <w:rPr>
          <w:rFonts w:ascii="Times New Roman" w:hAnsi="Times New Roman" w:eastAsia="仿宋_GB2312"/>
          <w:sz w:val="32"/>
          <w:szCs w:val="32"/>
        </w:rPr>
        <w:t>此类项目应面向新经济发展需要、面向世界、面向未来，</w:t>
      </w:r>
      <w:r>
        <w:rPr>
          <w:rFonts w:ascii="Times New Roman" w:hAnsi="Times New Roman" w:eastAsia="仿宋_GB2312"/>
          <w:kern w:val="0"/>
          <w:sz w:val="32"/>
          <w:szCs w:val="32"/>
        </w:rPr>
        <w:t>对传统工科专业进行改造升级，</w:t>
      </w:r>
      <w:r>
        <w:rPr>
          <w:rFonts w:ascii="Times New Roman" w:hAnsi="Times New Roman" w:eastAsia="仿宋_GB2312"/>
          <w:sz w:val="32"/>
          <w:szCs w:val="32"/>
        </w:rPr>
        <w:t>开展</w:t>
      </w:r>
      <w:r>
        <w:rPr>
          <w:rFonts w:ascii="Times New Roman" w:hAnsi="Times New Roman" w:eastAsia="仿宋_GB2312"/>
          <w:kern w:val="0"/>
          <w:sz w:val="32"/>
          <w:szCs w:val="32"/>
        </w:rPr>
        <w:t>新兴工科专业建设的研究与探索等</w:t>
      </w:r>
      <w:r>
        <w:rPr>
          <w:rFonts w:ascii="Times New Roman" w:hAnsi="Times New Roman" w:eastAsia="仿宋_GB2312"/>
          <w:sz w:val="32"/>
          <w:szCs w:val="32"/>
        </w:rPr>
        <w:t>，推动学科专业结构改革与组织模式变革。</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5.</w:t>
      </w:r>
      <w:r>
        <w:rPr>
          <w:rFonts w:ascii="Times New Roman" w:hAnsi="楷体" w:eastAsia="楷体"/>
          <w:b/>
          <w:bCs/>
          <w:sz w:val="32"/>
          <w:szCs w:val="32"/>
        </w:rPr>
        <w:t>面向新经济的工科专业改造升级路径探索与实践</w:t>
      </w:r>
    </w:p>
    <w:p>
      <w:pPr>
        <w:spacing w:line="560" w:lineRule="exact"/>
        <w:ind w:firstLine="604" w:firstLineChars="188"/>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：满足改造提升传统产业和培育壮大新兴产业的需要，推动高新技术与工科专业的知识、能力、素质要求深度融合，探索工科专业改造升级的实施路径。</w:t>
      </w:r>
    </w:p>
    <w:p>
      <w:pPr>
        <w:spacing w:line="560" w:lineRule="exact"/>
        <w:ind w:firstLine="604" w:firstLineChars="188"/>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研究分析新经济对传统工科专业人才培养提出的新要求，更新课程体系和教学内容；探索传统工科专业信息化、数字化改造的途径与方式；探索传统工科专业多学科交叉复合改造的途径与方式；面向人工智能、大数据、云计算、物联网等新技术，探索基于现有工科专业改造升级的新方向、新领域，逐步形成新的课程体系等。</w:t>
      </w:r>
    </w:p>
    <w:p>
      <w:pPr>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：改造升级一批传统工科专业，</w:t>
      </w:r>
      <w:r>
        <w:rPr>
          <w:rFonts w:ascii="Times New Roman" w:hAnsi="Times New Roman" w:eastAsia="仿宋_GB2312"/>
          <w:kern w:val="0"/>
          <w:sz w:val="32"/>
          <w:szCs w:val="32"/>
        </w:rPr>
        <w:t>提交专业培养方案、课程体系、系列教材和实施案例等。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6.</w:t>
      </w:r>
      <w:r>
        <w:rPr>
          <w:rFonts w:ascii="Times New Roman" w:hAnsi="楷体" w:eastAsia="楷体"/>
          <w:b/>
          <w:bCs/>
          <w:sz w:val="32"/>
          <w:szCs w:val="32"/>
        </w:rPr>
        <w:t>多学科交叉复合的新兴工科专业建设探索与实践</w:t>
      </w:r>
    </w:p>
    <w:p>
      <w:pPr>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：根据新技术和新产业发展趋势，促进学科交叉与跨界整合，推动工科专业之间、工科与其他学科专业交叉融合，培育建设新兴工科专业。</w:t>
      </w:r>
    </w:p>
    <w:p>
      <w:pPr>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pPr>
        <w:adjustRightInd w:val="0"/>
        <w:snapToGrid w:val="0"/>
        <w:spacing w:line="560" w:lineRule="exact"/>
        <w:ind w:firstLine="604" w:firstLineChars="188"/>
        <w:rPr>
          <w:rFonts w:ascii="Times New Roman" w:hAnsi="Times New Roman" w:eastAsia="仿宋_GB2312"/>
          <w:b/>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：形成若干新兴工科专业的设置论证报告，提交专业培养方案、课程体系、系列教材和实施案例等。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7.</w:t>
      </w:r>
      <w:r>
        <w:rPr>
          <w:rFonts w:ascii="Times New Roman" w:hAnsi="楷体" w:eastAsia="楷体"/>
          <w:b/>
          <w:bCs/>
          <w:sz w:val="32"/>
          <w:szCs w:val="32"/>
        </w:rPr>
        <w:t>理科衍生的新兴工科专业建设探索与实践</w:t>
      </w:r>
    </w:p>
    <w:p>
      <w:pPr>
        <w:pStyle w:val="2"/>
        <w:adjustRightInd w:val="0"/>
        <w:snapToGrid w:val="0"/>
        <w:spacing w:line="56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目标</w:t>
      </w:r>
      <w:r>
        <w:rPr>
          <w:rFonts w:ascii="Times New Roman" w:hAnsi="Times New Roman" w:eastAsia="仿宋_GB2312" w:cs="Times New Roman"/>
          <w:sz w:val="32"/>
          <w:szCs w:val="32"/>
        </w:rPr>
        <w:t>：以引领未来技术和产业为目标，探索理科在技术前沿的应用，推动应用理科向工科延伸，促进理、工、医等学科交叉发展，孕育产生新兴工科专业。</w:t>
      </w:r>
    </w:p>
    <w:p>
      <w:pPr>
        <w:pStyle w:val="2"/>
        <w:adjustRightInd w:val="0"/>
        <w:snapToGrid w:val="0"/>
        <w:spacing w:line="560" w:lineRule="exact"/>
        <w:ind w:firstLine="604" w:firstLineChars="188"/>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内容</w:t>
      </w:r>
      <w:r>
        <w:rPr>
          <w:rFonts w:ascii="Times New Roman" w:hAnsi="Times New Roman" w:eastAsia="仿宋_GB2312" w:cs="Times New Roman"/>
          <w:sz w:val="32"/>
          <w:szCs w:val="32"/>
        </w:rPr>
        <w:t>：聚焦国家战略和未来产业需求，探究应用理科产生新技术的环境、条件和路径，研究理科与工科之间交叉融合的方式，推动应用理科与环境、医学、材料、能源、通讯、人工智能等领域交叉融合，培育新兴工科领域及其相关专业；根据复合型人才培养要求，确立新兴工科专业的建设目标，形成与之相适应的知识结构和能力要求等。</w:t>
      </w:r>
    </w:p>
    <w:p>
      <w:pPr>
        <w:adjustRightInd w:val="0"/>
        <w:snapToGrid w:val="0"/>
        <w:spacing w:line="560" w:lineRule="exact"/>
        <w:ind w:firstLine="604" w:firstLineChars="188"/>
        <w:rPr>
          <w:rFonts w:ascii="Times New Roman" w:hAnsi="Times New Roman" w:eastAsia="仿宋_GB2312"/>
          <w:b/>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：形成若干由理科衍生的新兴工科专业的设置论证报告，提交专业培养方案、课程体系、系列教材和实施案例等。</w:t>
      </w:r>
    </w:p>
    <w:p>
      <w:pPr>
        <w:spacing w:line="560" w:lineRule="exact"/>
        <w:ind w:firstLine="643" w:firstLineChars="200"/>
        <w:rPr>
          <w:rFonts w:ascii="Times New Roman" w:hAnsi="Times New Roman" w:eastAsia="楷体"/>
          <w:b/>
          <w:bCs/>
          <w:sz w:val="32"/>
          <w:szCs w:val="32"/>
        </w:rPr>
      </w:pPr>
      <w:bookmarkStart w:id="0" w:name="_Toc7373"/>
      <w:bookmarkStart w:id="1" w:name="_Toc13520"/>
      <w:bookmarkStart w:id="2" w:name="_Toc479405867"/>
      <w:r>
        <w:rPr>
          <w:rFonts w:ascii="Times New Roman" w:hAnsi="Times New Roman" w:eastAsia="楷体"/>
          <w:b/>
          <w:bCs/>
          <w:sz w:val="32"/>
          <w:szCs w:val="32"/>
        </w:rPr>
        <w:t>8.</w:t>
      </w:r>
      <w:r>
        <w:rPr>
          <w:rFonts w:ascii="Times New Roman" w:hAnsi="楷体" w:eastAsia="楷体"/>
          <w:b/>
          <w:bCs/>
          <w:sz w:val="32"/>
          <w:szCs w:val="32"/>
        </w:rPr>
        <w:t>工科专业设置及动态调整机制研究与实践</w:t>
      </w:r>
      <w:bookmarkEnd w:id="0"/>
      <w:bookmarkEnd w:id="1"/>
      <w:bookmarkEnd w:id="2"/>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：建立满足产业发展需要的专业设置和动态调整机制，提升工程人才培养对国家战略和经济发展的适应性和支撑能力。</w:t>
      </w:r>
    </w:p>
    <w:p>
      <w:pPr>
        <w:autoSpaceDE w:val="0"/>
        <w:autoSpaceDN w:val="0"/>
        <w:adjustRightInd w:val="0"/>
        <w:snapToGrid w:val="0"/>
        <w:spacing w:line="560" w:lineRule="exact"/>
        <w:ind w:firstLine="604" w:firstLineChars="188"/>
        <w:rPr>
          <w:rFonts w:ascii="Times New Roman" w:hAnsi="Times New Roman" w:eastAsia="仿宋_GB2312"/>
          <w:color w:val="FF0000"/>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：形成面向产业发展的工科专业设置及动态调整的体制机制。</w:t>
      </w:r>
      <w:bookmarkStart w:id="3" w:name="_Toc353227351"/>
    </w:p>
    <w:bookmarkEnd w:id="3"/>
    <w:p>
      <w:pPr>
        <w:autoSpaceDE w:val="0"/>
        <w:autoSpaceDN w:val="0"/>
        <w:adjustRightInd w:val="0"/>
        <w:snapToGrid w:val="0"/>
        <w:spacing w:line="560" w:lineRule="exact"/>
        <w:ind w:firstLine="604" w:firstLineChars="188"/>
        <w:rPr>
          <w:rFonts w:ascii="Times New Roman" w:hAnsi="Times New Roman" w:eastAsia="黑体"/>
          <w:b/>
          <w:sz w:val="32"/>
          <w:szCs w:val="32"/>
        </w:rPr>
      </w:pPr>
      <w:bookmarkStart w:id="4" w:name="_Toc353227352"/>
      <w:r>
        <w:rPr>
          <w:rFonts w:ascii="Times New Roman" w:hAnsi="黑体" w:eastAsia="黑体"/>
          <w:b/>
          <w:sz w:val="32"/>
          <w:szCs w:val="32"/>
        </w:rPr>
        <w:t>三、新模式选题</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此类项目应在总结卓越工程师教育培养计划、CDIO等工程教育人才培养模式改革经验的基础上，深化产教融合、校企合作的人才培养模式改革、体制机制改革和大学组织模式创新。</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9.</w:t>
      </w:r>
      <w:r>
        <w:rPr>
          <w:rFonts w:ascii="Times New Roman" w:hAnsi="楷体" w:eastAsia="楷体"/>
          <w:b/>
          <w:bCs/>
          <w:sz w:val="32"/>
          <w:szCs w:val="32"/>
        </w:rPr>
        <w:t>新工科多方协同育人模式改革与实践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：进一步推动开放式办学，创新大学组织模式，建立政校企等多主体协同育人模式，</w:t>
      </w:r>
      <w:r>
        <w:rPr>
          <w:rFonts w:ascii="Times New Roman" w:hAnsi="Times New Roman" w:eastAsia="仿宋_GB2312"/>
          <w:sz w:val="32"/>
          <w:szCs w:val="32"/>
        </w:rPr>
        <w:t>推进科教结合、产学融合、校企合作的协同育人</w:t>
      </w:r>
      <w:r>
        <w:rPr>
          <w:rFonts w:ascii="Times New Roman" w:hAnsi="Times New Roman" w:eastAsia="仿宋_GB2312"/>
          <w:kern w:val="0"/>
          <w:sz w:val="32"/>
          <w:szCs w:val="32"/>
        </w:rPr>
        <w:t>体制机制改革。</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业需求，构建多主体参与、产学研融合的新工科人才协同培养模式；推动大学组织创新，探索建设由校内外多方参与的产业化学院等新型组织模式。</w:t>
      </w:r>
    </w:p>
    <w:p>
      <w:pPr>
        <w:snapToGri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：建设一批面向新兴产业领域的产业化学院，如机器人学院、智能制造学院、大数据学院等；建设一批集</w:t>
      </w:r>
      <w:r>
        <w:rPr>
          <w:rFonts w:ascii="Times New Roman" w:hAnsi="Times New Roman" w:eastAsia="仿宋_GB2312"/>
          <w:sz w:val="32"/>
          <w:szCs w:val="32"/>
        </w:rPr>
        <w:t>教育、培训、研发一体的共享型协同育人实践平台</w:t>
      </w:r>
      <w:r>
        <w:rPr>
          <w:rFonts w:ascii="Times New Roman" w:hAnsi="Times New Roman" w:eastAsia="仿宋_GB2312"/>
          <w:kern w:val="0"/>
          <w:sz w:val="32"/>
          <w:szCs w:val="32"/>
        </w:rPr>
        <w:t>；形成有利于</w:t>
      </w:r>
      <w:r>
        <w:rPr>
          <w:rFonts w:ascii="Times New Roman" w:hAnsi="Times New Roman" w:eastAsia="仿宋_GB2312"/>
          <w:sz w:val="32"/>
          <w:szCs w:val="32"/>
        </w:rPr>
        <w:t>社会机构深度参与高校专业培养目标制定、课程设置、教学内容和方法改革、质量评价等活动的体制机制</w:t>
      </w:r>
      <w:r>
        <w:rPr>
          <w:rFonts w:ascii="Times New Roman" w:hAnsi="Times New Roman" w:eastAsia="仿宋_GB2312"/>
          <w:kern w:val="0"/>
          <w:sz w:val="32"/>
          <w:szCs w:val="32"/>
        </w:rPr>
        <w:t>等</w:t>
      </w:r>
      <w:r>
        <w:rPr>
          <w:rFonts w:ascii="Times New Roman" w:hAnsi="Times New Roman" w:eastAsia="仿宋_GB2312"/>
          <w:sz w:val="32"/>
          <w:szCs w:val="32"/>
        </w:rPr>
        <w:t>。</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10.</w:t>
      </w:r>
      <w:r>
        <w:rPr>
          <w:rFonts w:ascii="Times New Roman" w:hAnsi="楷体" w:eastAsia="楷体"/>
          <w:b/>
          <w:bCs/>
          <w:sz w:val="32"/>
          <w:szCs w:val="32"/>
        </w:rPr>
        <w:t>多学科交叉融合的工程人才培养模式探索与实践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：打破固有学科领域界限，形成体现多学科交叉融合特征的工程人才培养模式。</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优化学院组织模式，建立跨学科交融的新型机构，为跨院系、跨学科、跨专业培养新工科人才提供组织保障；改革课程体系，开设跨学科课程，探索面向复杂工程问题的课程和教学模式；组建跨学科教学团队、跨学科项目平台，推进跨学科合作学习等；研究制定多学科交叉融合能力达成的评价标准和考核办法，建立质量监控体系；开展体现学校优势与特色的专业集群建设。</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11.</w:t>
      </w:r>
      <w:r>
        <w:rPr>
          <w:rFonts w:ascii="Times New Roman" w:hAnsi="楷体" w:eastAsia="楷体"/>
          <w:b/>
          <w:bCs/>
          <w:sz w:val="32"/>
          <w:szCs w:val="32"/>
        </w:rPr>
        <w:t>新工科人才的创新创业能力培养探索</w:t>
      </w:r>
    </w:p>
    <w:p>
      <w:pPr>
        <w:snapToGri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w:t>
      </w:r>
      <w:r>
        <w:rPr>
          <w:rFonts w:ascii="Times New Roman" w:hAnsi="Times New Roman" w:eastAsia="仿宋_GB2312"/>
          <w:sz w:val="32"/>
          <w:szCs w:val="32"/>
        </w:rPr>
        <w:t>完善工科人才“创意-创新-创业”教育体系，提升</w:t>
      </w:r>
      <w:r>
        <w:rPr>
          <w:rFonts w:ascii="Times New Roman" w:hAnsi="Times New Roman" w:eastAsia="仿宋_GB2312"/>
          <w:kern w:val="0"/>
          <w:sz w:val="32"/>
          <w:szCs w:val="32"/>
        </w:rPr>
        <w:t>工科人才创新创业能力，探索建立创新型工程人才培养模式。</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完善创新创业教育课程体系和管理制度，加强创新创业通识教育，积极探索设置学科前沿课程、综合性课程、问题导向课程、交叉学科研讨课程；强化毕业设计的创新创业导向；探索“工科+”创业双学位、主辅修制度等多样化培养模式；建设基于工科优势特色的高校创新创业平台，引导鼓励学生积极参与创新活动和创业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：建立创新型工程人才培养的路径，形成以创新创业能力为导向的培养模式；</w:t>
      </w:r>
      <w:r>
        <w:rPr>
          <w:rFonts w:ascii="Times New Roman" w:hAnsi="Times New Roman" w:eastAsia="仿宋_GB2312"/>
          <w:sz w:val="32"/>
          <w:szCs w:val="32"/>
        </w:rPr>
        <w:t>形成推动创新创业成果转化应用、产学研用紧密结合的体制机制等。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12.</w:t>
      </w:r>
      <w:r>
        <w:rPr>
          <w:rFonts w:ascii="Times New Roman" w:hAnsi="楷体" w:eastAsia="楷体"/>
          <w:b/>
          <w:bCs/>
          <w:sz w:val="32"/>
          <w:szCs w:val="32"/>
        </w:rPr>
        <w:t>新工科个性化人才培养模式探索与实践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w:t>
      </w:r>
      <w:r>
        <w:rPr>
          <w:rFonts w:ascii="Times New Roman" w:hAnsi="Times New Roman" w:eastAsia="仿宋_GB2312"/>
          <w:sz w:val="32"/>
          <w:szCs w:val="32"/>
        </w:rPr>
        <w:t>落实以学生为中心的理念，满足学生的个性化需求，探索形成以学习者为中心的工程教育模式。</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拔尖计划”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：形成以学生为中心的个性化人才培养方案、管理模式和运行机制，提供基于案例、数据的实践经验等。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13.</w:t>
      </w:r>
      <w:r>
        <w:rPr>
          <w:rFonts w:ascii="Times New Roman" w:hAnsi="楷体" w:eastAsia="楷体"/>
          <w:b/>
          <w:bCs/>
          <w:sz w:val="32"/>
          <w:szCs w:val="32"/>
        </w:rPr>
        <w:t>新工科高层次人才培养模式探索与实践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：面向产业高层次工程科技人才需求，探索本研分段衔接的知识结构、课程体系、培养模式及配套制度体系。</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分别对本硕博阶段学习目标、课程体系、学习成果评价等进行深入分析，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研分段连续培养的学生制定合适的培养模式和选课体系等。</w:t>
      </w:r>
    </w:p>
    <w:p>
      <w:pPr>
        <w:autoSpaceDE w:val="0"/>
        <w:autoSpaceDN w:val="0"/>
        <w:adjustRightInd w:val="0"/>
        <w:snapToGrid w:val="0"/>
        <w:spacing w:line="560" w:lineRule="exact"/>
        <w:ind w:firstLine="604" w:firstLineChars="188"/>
        <w:rPr>
          <w:rFonts w:ascii="Times New Roman" w:hAnsi="Times New Roman" w:eastAsia="仿宋_GB2312"/>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：完成研究报告，提供培养模式、选课体系和学分确认机制的方案，并提供相应数据。</w:t>
      </w:r>
    </w:p>
    <w:p>
      <w:pPr>
        <w:spacing w:line="560" w:lineRule="exact"/>
        <w:ind w:firstLine="643" w:firstLineChars="200"/>
        <w:rPr>
          <w:rFonts w:ascii="Times New Roman" w:hAnsi="Times New Roman" w:eastAsia="黑体"/>
          <w:b/>
          <w:bCs/>
          <w:sz w:val="32"/>
          <w:szCs w:val="32"/>
        </w:rPr>
      </w:pPr>
      <w:r>
        <w:rPr>
          <w:rFonts w:ascii="Times New Roman" w:hAnsi="黑体" w:eastAsia="黑体"/>
          <w:b/>
          <w:bCs/>
          <w:sz w:val="32"/>
          <w:szCs w:val="32"/>
        </w:rPr>
        <w:t>四、新质量选题</w:t>
      </w:r>
    </w:p>
    <w:p>
      <w:pPr>
        <w:autoSpaceDE w:val="0"/>
        <w:autoSpaceDN w:val="0"/>
        <w:adjustRightInd w:val="0"/>
        <w:snapToGrid w:val="0"/>
        <w:spacing w:line="560" w:lineRule="exact"/>
        <w:ind w:firstLine="601" w:firstLineChars="188"/>
        <w:rPr>
          <w:rFonts w:ascii="Times New Roman" w:hAnsi="Times New Roman" w:eastAsia="仿宋_GB2312"/>
          <w:kern w:val="0"/>
          <w:sz w:val="32"/>
          <w:szCs w:val="32"/>
        </w:rPr>
      </w:pPr>
      <w:r>
        <w:rPr>
          <w:rFonts w:ascii="Times New Roman" w:hAnsi="Times New Roman" w:eastAsia="仿宋_GB2312"/>
          <w:kern w:val="0"/>
          <w:sz w:val="32"/>
          <w:szCs w:val="32"/>
        </w:rPr>
        <w:t>此类项目应在完善中国特色、国际实质等效的工程教育专业认证制度的基础上，研究制订新工科专业人才培养质量标准、教师评价标准和专业评估体系，开展多维度的质量评价等。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14.</w:t>
      </w:r>
      <w:r>
        <w:rPr>
          <w:rFonts w:ascii="Times New Roman" w:hAnsi="楷体" w:eastAsia="楷体"/>
          <w:b/>
          <w:bCs/>
          <w:sz w:val="32"/>
          <w:szCs w:val="32"/>
        </w:rPr>
        <w:t>新兴工科专业人才培养质量标准研制</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目标：</w:t>
      </w:r>
      <w:r>
        <w:rPr>
          <w:rFonts w:ascii="Times New Roman" w:hAnsi="Times New Roman" w:eastAsia="仿宋_GB2312"/>
          <w:sz w:val="32"/>
          <w:szCs w:val="32"/>
        </w:rPr>
        <w:t>制订新兴工科专业人才培养质量标准。</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立足国际工程教育改革发展前沿，研判发达国家工程教育新趋势、新策略，以面向未来和领跑世界为目标追求，组织高校和产业共同研究提出新兴工科专业人才培养的质量标准，包括培养规格和基本要求、课程体系、教学规范、师资队伍等内容，作为专业设置、专业建设、教学质量评估的基本遵循。更新完善卓越工程师教育培养计划培养标准。</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预期成果</w:t>
      </w:r>
      <w:r>
        <w:rPr>
          <w:rFonts w:ascii="Times New Roman" w:hAnsi="Times New Roman" w:eastAsia="仿宋_GB2312"/>
          <w:sz w:val="32"/>
          <w:szCs w:val="32"/>
        </w:rPr>
        <w:t>：一套新兴工科专业人才培养质量标准及实施方案、项目成果报告，卓越工程师教育培养计划培养新标准等。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15.</w:t>
      </w:r>
      <w:r>
        <w:rPr>
          <w:rFonts w:ascii="Times New Roman" w:hAnsi="楷体" w:eastAsia="楷体"/>
          <w:b/>
          <w:bCs/>
          <w:sz w:val="32"/>
          <w:szCs w:val="32"/>
        </w:rPr>
        <w:t>新工科基础课程体系（或通识教育课程体系）构建</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：构建面向新工科的基础课程体系（或通识教育课程体系）。</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：形成新工科专业基础课程综合改革方案；建设一系列新工科通识课程。</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16.</w:t>
      </w:r>
      <w:r>
        <w:rPr>
          <w:rFonts w:ascii="Times New Roman" w:hAnsi="楷体" w:eastAsia="楷体"/>
          <w:b/>
          <w:bCs/>
          <w:sz w:val="32"/>
          <w:szCs w:val="32"/>
        </w:rPr>
        <w:t>面向新工科的工程实践教育体系与实践平台构建</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：构建面向新工科的工程实践教育体系与实践平台。</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长期稳定合作关系；从政策配套、学校体制机制、企业深度参与等维度提出相关对策建议。</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：形成一批可推广的工程实践教育体系与实践平台，建立有针对性、可操作的评价体系及对策建议报告。</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17.</w:t>
      </w:r>
      <w:r>
        <w:rPr>
          <w:rFonts w:ascii="Times New Roman" w:hAnsi="楷体" w:eastAsia="楷体"/>
          <w:b/>
          <w:bCs/>
          <w:sz w:val="32"/>
          <w:szCs w:val="32"/>
        </w:rPr>
        <w:t>面向新工科建设的教师发展与评价激励机制探索</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：探索符合工程教育特点的教师任职要求、考核与评价标准、教师发展机制。</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Pr>
          <w:rFonts w:ascii="Times New Roman" w:hAnsi="Times New Roman" w:eastAsia="仿宋_GB2312"/>
          <w:kern w:val="0"/>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：形成新工科师资队伍分类评价标准、激励机制、政策保障及教师发展方案等。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18.</w:t>
      </w:r>
      <w:r>
        <w:rPr>
          <w:rFonts w:ascii="Times New Roman" w:hAnsi="楷体" w:eastAsia="楷体"/>
          <w:b/>
          <w:bCs/>
          <w:sz w:val="32"/>
          <w:szCs w:val="32"/>
        </w:rPr>
        <w:t>新型工程教育信息化的探索与实践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：推进信息技术与工程教育深度融合，创新“互联网+”环境下工程教育教学方法，提高工程教育效率和教学效果。</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探索优质教学资源共享、学生自主学习和交流、学习行为分析和教学持续改进的信息化手段，培养学生数字化思维，提升信息技术应用能力；针对新工科领域，建设一批优质在线课程，既服务高校人才培养，也满足企业培训需求；探索工程实践教学中虚拟仿真等信息技术的深度应用，实现优质实验教学资源开放共享。</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：开设一系列新工科领域在线开放课程；建设若干应用虚拟仿真等技术的工程实践教学平台；研制工程教育信息化报告；形成与工程教育信息化相配套的共享和交流机制、教学管理平台等。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19.</w:t>
      </w:r>
      <w:r>
        <w:rPr>
          <w:rFonts w:ascii="Times New Roman" w:hAnsi="楷体" w:eastAsia="楷体"/>
          <w:b/>
          <w:bCs/>
          <w:sz w:val="32"/>
          <w:szCs w:val="32"/>
        </w:rPr>
        <w:t>新工科专业评价制度研究和探索</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 xml:space="preserve">：以适应经济社会发展需求、促进人的全面发展作为衡量人才培养质量的根本标准，推进校内评价与外部评价相结合，建立新工科专业评价制度，完善中国特色、国际实质等效的工程教育专业认证制度。 </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 xml:space="preserve">：研究新工科专业评价指标体系；研究面向培养目标达成度的定量和定性相结合的评价方法；探索形成新工科专业评价的实施机制，包括完善评价主体、优化评价过程、合理化应用评价结果；完善我国工程教育专业认证制度等。 </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：形成新工科专业评价的指标体系、评价方法、实践案例、高质量论文等。</w:t>
      </w:r>
    </w:p>
    <w:p>
      <w:pPr>
        <w:autoSpaceDE w:val="0"/>
        <w:autoSpaceDN w:val="0"/>
        <w:adjustRightInd w:val="0"/>
        <w:snapToGrid w:val="0"/>
        <w:spacing w:line="560" w:lineRule="exact"/>
        <w:ind w:firstLine="604" w:firstLineChars="188"/>
        <w:rPr>
          <w:rFonts w:ascii="Times New Roman" w:hAnsi="Times New Roman" w:eastAsia="黑体"/>
          <w:b/>
          <w:sz w:val="32"/>
          <w:szCs w:val="32"/>
        </w:rPr>
      </w:pPr>
      <w:r>
        <w:rPr>
          <w:rFonts w:ascii="Times New Roman" w:hAnsi="黑体" w:eastAsia="黑体"/>
          <w:b/>
          <w:sz w:val="32"/>
          <w:szCs w:val="32"/>
        </w:rPr>
        <w:t>五、新体系选题</w:t>
      </w:r>
    </w:p>
    <w:p>
      <w:pPr>
        <w:autoSpaceDE w:val="0"/>
        <w:autoSpaceDN w:val="0"/>
        <w:adjustRightInd w:val="0"/>
        <w:snapToGrid w:val="0"/>
        <w:spacing w:line="560" w:lineRule="exact"/>
        <w:ind w:firstLine="601" w:firstLineChars="188"/>
        <w:rPr>
          <w:rFonts w:ascii="Times New Roman" w:hAnsi="Times New Roman" w:eastAsia="仿宋_GB2312"/>
          <w:sz w:val="32"/>
          <w:szCs w:val="32"/>
        </w:rPr>
      </w:pPr>
      <w:r>
        <w:rPr>
          <w:rFonts w:ascii="Times New Roman" w:hAnsi="Times New Roman" w:eastAsia="仿宋_GB2312"/>
          <w:sz w:val="32"/>
          <w:szCs w:val="32"/>
        </w:rPr>
        <w:t>此类项目应</w:t>
      </w:r>
      <w:bookmarkEnd w:id="4"/>
      <w:bookmarkStart w:id="5" w:name="_Toc353227353"/>
      <w:r>
        <w:rPr>
          <w:rFonts w:ascii="Times New Roman" w:hAnsi="Times New Roman" w:eastAsia="仿宋_GB2312"/>
          <w:sz w:val="32"/>
          <w:szCs w:val="32"/>
        </w:rPr>
        <w:t>分析研究高校分类发展、工程人才分类培养的体系结构，提出推进工程教育办出特色和水平的宏观政策、组织体系和运行机制等。</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20.</w:t>
      </w:r>
      <w:r>
        <w:rPr>
          <w:rFonts w:ascii="Times New Roman" w:hAnsi="楷体" w:eastAsia="楷体"/>
          <w:b/>
          <w:bCs/>
          <w:sz w:val="32"/>
          <w:szCs w:val="32"/>
        </w:rPr>
        <w:t>工科优势高校新工科建设进展和效果研究</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：跟踪总结工科优势高校新工科建设相关进展和成效。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：调研分析工科优势高校新工科建设的计划和实施情况，总结相关经验和实践案例，分析存在问题和障碍，提出相应对策建议。</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：工科优势高校新工科建设进展报告。</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21.</w:t>
      </w:r>
      <w:r>
        <w:rPr>
          <w:rFonts w:ascii="Times New Roman" w:hAnsi="楷体" w:eastAsia="楷体"/>
          <w:b/>
          <w:bCs/>
          <w:sz w:val="32"/>
          <w:szCs w:val="32"/>
        </w:rPr>
        <w:t>综合性高校新工科建设进展和效果研究</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：跟踪总结综合性高校新工科建设相关进展和成效。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：调研分析综合性高校新工科建设的计划和实施情况，总结相关经验和实践案例，分析存在问题和障碍，提出相应对策建议。</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：综合性高校新工科建设进展报告。</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22.</w:t>
      </w:r>
      <w:r>
        <w:rPr>
          <w:rFonts w:ascii="Times New Roman" w:hAnsi="楷体" w:eastAsia="楷体"/>
          <w:b/>
          <w:bCs/>
          <w:sz w:val="32"/>
          <w:szCs w:val="32"/>
        </w:rPr>
        <w:t>地方高校新工科建设进展和效果研究</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：跟踪总结地方高校新工科建设相关进展和成效。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：调研分析地方高校新工科建设的计划和实施情况，总结相关经验和实践案例，分析存在问题和障碍，提出相应对策建议。</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：地方高校新工科建设进展报告。</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23.</w:t>
      </w:r>
      <w:r>
        <w:rPr>
          <w:rFonts w:ascii="Times New Roman" w:hAnsi="楷体" w:eastAsia="楷体"/>
          <w:b/>
          <w:bCs/>
          <w:sz w:val="32"/>
          <w:szCs w:val="32"/>
        </w:rPr>
        <w:t>工科专业类教学指导委员会分类推进新工科建设的研究与实践</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目标</w:t>
      </w:r>
      <w:r>
        <w:rPr>
          <w:rFonts w:ascii="Times New Roman" w:hAnsi="Times New Roman" w:eastAsia="仿宋_GB2312"/>
          <w:sz w:val="32"/>
          <w:szCs w:val="32"/>
        </w:rPr>
        <w:t>：充分发挥工科专业类教学指导委员会作用，统筹各领域相关高校，分类推进新工科建设。</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内容</w:t>
      </w:r>
      <w:r>
        <w:rPr>
          <w:rFonts w:ascii="Times New Roman" w:hAnsi="Times New Roman" w:eastAsia="仿宋_GB2312"/>
          <w:sz w:val="32"/>
          <w:szCs w:val="32"/>
        </w:rPr>
        <w:t>：在全面分析产业需求和技术趋势的基础上，对传统工科专业改造升级和新兴工科专业建设提出建议；探索满足不同人才培养定位的差异化培养方案，修订或制订专业质量标准；组织开展新工科建设的经验交流，提炼形成可推广、可复制的经验。</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预期成果</w:t>
      </w:r>
      <w:r>
        <w:rPr>
          <w:rFonts w:ascii="Times New Roman" w:hAnsi="Times New Roman" w:eastAsia="仿宋_GB2312"/>
          <w:sz w:val="32"/>
          <w:szCs w:val="32"/>
        </w:rPr>
        <w:t>：工科专业类课程体系、培养模式改革的实施方案，出版满足新工科建设要求的系列教材，提出分类推进新工科建设的政策建议。</w:t>
      </w:r>
    </w:p>
    <w:p>
      <w:pPr>
        <w:spacing w:line="56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24.</w:t>
      </w:r>
      <w:r>
        <w:rPr>
          <w:rFonts w:ascii="Times New Roman" w:hAnsi="楷体" w:eastAsia="楷体"/>
          <w:b/>
          <w:bCs/>
          <w:sz w:val="32"/>
          <w:szCs w:val="32"/>
        </w:rPr>
        <w:t>面向</w:t>
      </w:r>
      <w:r>
        <w:rPr>
          <w:rFonts w:ascii="Times New Roman" w:hAnsi="Times New Roman" w:eastAsia="楷体"/>
          <w:b/>
          <w:bCs/>
          <w:sz w:val="32"/>
          <w:szCs w:val="32"/>
        </w:rPr>
        <w:t>“</w:t>
      </w:r>
      <w:r>
        <w:rPr>
          <w:rFonts w:ascii="Times New Roman" w:hAnsi="楷体" w:eastAsia="楷体"/>
          <w:b/>
          <w:bCs/>
          <w:sz w:val="32"/>
          <w:szCs w:val="32"/>
        </w:rPr>
        <w:t>一带一路</w:t>
      </w:r>
      <w:r>
        <w:rPr>
          <w:rFonts w:ascii="Times New Roman" w:hAnsi="Times New Roman" w:eastAsia="楷体"/>
          <w:b/>
          <w:bCs/>
          <w:sz w:val="32"/>
          <w:szCs w:val="32"/>
        </w:rPr>
        <w:t>”</w:t>
      </w:r>
      <w:r>
        <w:rPr>
          <w:rFonts w:ascii="Times New Roman" w:hAnsi="楷体" w:eastAsia="楷体"/>
          <w:b/>
          <w:bCs/>
          <w:sz w:val="32"/>
          <w:szCs w:val="32"/>
        </w:rPr>
        <w:t>的工程教育国际化研究</w:t>
      </w:r>
      <w:bookmarkEnd w:id="5"/>
      <w:r>
        <w:rPr>
          <w:rFonts w:ascii="Times New Roman" w:hAnsi="楷体" w:eastAsia="楷体"/>
          <w:b/>
          <w:bCs/>
          <w:sz w:val="32"/>
          <w:szCs w:val="32"/>
        </w:rPr>
        <w:t>与实践</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目标</w:t>
      </w:r>
      <w:r>
        <w:rPr>
          <w:rFonts w:ascii="Times New Roman" w:hAnsi="Times New Roman" w:eastAsia="仿宋_GB2312"/>
          <w:kern w:val="0"/>
          <w:sz w:val="32"/>
          <w:szCs w:val="32"/>
        </w:rPr>
        <w:t>：围绕“一带一路”战略实施，扎根中国、放眼全球，推进工程教育国际化，提升我国工程教育国际影响力和对国家战略的支撑能力。</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内容</w:t>
      </w:r>
      <w:r>
        <w:rPr>
          <w:rFonts w:ascii="Times New Roman" w:hAnsi="Times New Roman" w:eastAsia="仿宋_GB2312"/>
          <w:kern w:val="0"/>
          <w:sz w:val="32"/>
          <w:szCs w:val="32"/>
        </w:rPr>
        <w:t>：探索构建“一带一路”工科高校战略联盟，共同打造工程教育共同体，推动“一带一路”沿线国家和地区大学之间在工程人才培养、科学研究、文化交流等方面的全面合作</w:t>
      </w:r>
      <w:r>
        <w:rPr>
          <w:rFonts w:ascii="Times New Roman" w:hAnsi="Times New Roman" w:eastAsia="仿宋_GB2312"/>
          <w:sz w:val="32"/>
          <w:szCs w:val="32"/>
        </w:rPr>
        <w:t>；</w:t>
      </w:r>
      <w:r>
        <w:rPr>
          <w:rFonts w:ascii="Times New Roman" w:hAnsi="Times New Roman" w:eastAsia="仿宋_GB2312"/>
          <w:kern w:val="0"/>
          <w:sz w:val="32"/>
          <w:szCs w:val="32"/>
        </w:rPr>
        <w:t>推动高校与走向“一带一路”的企业实施产学合作育人，培养面向“一带一路”的工程人才。</w:t>
      </w:r>
    </w:p>
    <w:p>
      <w:pPr>
        <w:autoSpaceDE w:val="0"/>
        <w:autoSpaceDN w:val="0"/>
        <w:adjustRightInd w:val="0"/>
        <w:snapToGrid w:val="0"/>
        <w:spacing w:line="560" w:lineRule="exact"/>
        <w:ind w:firstLine="604" w:firstLineChars="188"/>
        <w:rPr>
          <w:rFonts w:ascii="Times New Roman" w:hAnsi="Times New Roman" w:eastAsia="仿宋_GB2312"/>
          <w:kern w:val="0"/>
          <w:sz w:val="32"/>
          <w:szCs w:val="32"/>
        </w:rPr>
      </w:pPr>
      <w:r>
        <w:rPr>
          <w:rFonts w:ascii="Times New Roman" w:hAnsi="Times New Roman" w:eastAsia="仿宋_GB2312"/>
          <w:b/>
          <w:kern w:val="0"/>
          <w:sz w:val="32"/>
          <w:szCs w:val="32"/>
        </w:rPr>
        <w:t>预期成果</w:t>
      </w:r>
      <w:r>
        <w:rPr>
          <w:rFonts w:ascii="Times New Roman" w:hAnsi="Times New Roman" w:eastAsia="仿宋_GB2312"/>
          <w:kern w:val="0"/>
          <w:sz w:val="32"/>
          <w:szCs w:val="32"/>
        </w:rPr>
        <w:t>：打造面向“一带一路”的工程教育国际联盟和工程教育共同体；</w:t>
      </w:r>
      <w:r>
        <w:rPr>
          <w:rFonts w:ascii="Times New Roman" w:hAnsi="Times New Roman" w:eastAsia="仿宋_GB2312"/>
          <w:sz w:val="32"/>
          <w:szCs w:val="32"/>
        </w:rPr>
        <w:t>培养一批认同中国文化、熟悉中国标准的工科留学生；推动具备条件的高校“走出去”，面向“一带一路”沿线国家培养工程科技人才、工程管理人才和工程教育师资等。</w:t>
      </w:r>
      <w:bookmarkStart w:id="6" w:name="_GoBack"/>
      <w:bookmarkEnd w:id="6"/>
    </w:p>
    <w:p>
      <w:pPr>
        <w:spacing w:line="560" w:lineRule="exact"/>
        <w:rPr>
          <w:rFonts w:ascii="Times New Roman" w:hAnsi="Times New Roman" w:eastAsia="方正小标宋简体"/>
          <w:sz w:val="36"/>
          <w:szCs w:val="36"/>
        </w:rPr>
      </w:pPr>
    </w:p>
    <w:p>
      <w:pPr>
        <w:spacing w:line="560" w:lineRule="exact"/>
        <w:jc w:val="lef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B4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dc:creator>
  <cp:lastModifiedBy>sd</cp:lastModifiedBy>
  <dcterms:modified xsi:type="dcterms:W3CDTF">2017-07-07T12:24:17Z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