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大学英语四、六级口语考试</w:t>
      </w:r>
      <w:r>
        <w:rPr>
          <w:rFonts w:ascii="宋体" w:hAnsi="宋体"/>
          <w:b/>
          <w:sz w:val="36"/>
          <w:szCs w:val="36"/>
        </w:rPr>
        <w:t>(CET-SET)</w:t>
      </w:r>
      <w:r>
        <w:rPr>
          <w:rFonts w:hint="eastAsia" w:ascii="宋体" w:hAnsi="宋体"/>
          <w:b/>
          <w:sz w:val="36"/>
          <w:szCs w:val="36"/>
        </w:rPr>
        <w:t>能力等级描述</w:t>
      </w:r>
    </w:p>
    <w:bookmarkEnd w:id="0"/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大学英语四级口语考试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3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能用英语就熟悉的话题进行交谈，基本没有困难。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能就熟悉的话题连贯地发表意见和看法。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能用英语就熟悉的话题进行交谈，虽有些困难，但不影响交际。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能就熟悉的话题作较连贯的发言。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能就熟悉的话题作简短的发言。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尚不具备英语口头交际能力。</w:t>
            </w:r>
          </w:p>
        </w:tc>
      </w:tr>
    </w:tbl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大学英语六级口语考试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3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能用英语就一般性话题进行较深入的交谈。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能较清晰、较连贯地表达个人意见、情感、观点等。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能基本表达个人意见、情感、观点等。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尚不具备基本的英语口头交际能力。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06D0"/>
    <w:rsid w:val="02E80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2018-04-26T01:50:00Z</dcterms:created>
  <dc:creator>變乖</dc:creator>
  <cp:lastModifiedBy>變乖</cp:lastModifiedBy>
  <dcterms:modified xsi:type="dcterms:W3CDTF">2018-04-26T01:50:59Z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