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附件1：</w:t>
      </w:r>
    </w:p>
    <w:p>
      <w:pPr>
        <w:ind w:firstLine="1200" w:firstLineChars="500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</w:rPr>
        <w:t>需提交2017年度进展报告的新办本科专业一览表</w:t>
      </w:r>
    </w:p>
    <w:bookmarkEnd w:id="0"/>
    <w:p>
      <w:pPr>
        <w:ind w:firstLine="1440" w:firstLineChars="600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6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43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设置时间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专业名称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2012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网络与新媒体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2012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会计学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2013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知识产权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2013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戏剧影视文学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2014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物联网工程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2014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服装与服饰设计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特殊教育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应用物理学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物理与电子科学学院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会展经济与管理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视觉传达设计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2017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翻译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2017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环境设计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2017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武术与民族传统体育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体育学院</w:t>
            </w:r>
          </w:p>
        </w:tc>
      </w:tr>
    </w:tbl>
    <w:p>
      <w:pPr>
        <w:rPr>
          <w:rFonts w:hint="eastAsia" w:ascii="仿宋_GB2312" w:hAnsi="黑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321A4"/>
    <w:rsid w:val="305321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2018-09-19T02:38:00Z</dcterms:created>
  <dc:creator>hnsd</dc:creator>
  <cp:lastModifiedBy>hnsd</cp:lastModifiedBy>
  <dcterms:modified xsi:type="dcterms:W3CDTF">2018-09-19T02:38:36Z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